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CAFBF" w14:textId="0E0BE903" w:rsidR="00CF041C" w:rsidRDefault="00CF041C" w:rsidP="00CF041C">
      <w:pPr>
        <w:spacing w:beforeLines="60" w:before="144" w:afterLines="60" w:after="144"/>
        <w:jc w:val="center"/>
        <w:rPr>
          <w:rFonts w:ascii="Cambria" w:hAnsi="Cambria" w:cs="Arial"/>
          <w:b/>
          <w:szCs w:val="20"/>
        </w:rPr>
      </w:pPr>
      <w:r w:rsidRPr="00E73245">
        <w:rPr>
          <w:rFonts w:ascii="Cambria" w:hAnsi="Cambria" w:cs="Arial"/>
          <w:b/>
          <w:szCs w:val="20"/>
        </w:rPr>
        <w:t>TECHNICKÁ SPECIFIKACE</w:t>
      </w:r>
      <w:r w:rsidR="00E73245" w:rsidRPr="00E73245">
        <w:rPr>
          <w:rFonts w:ascii="Cambria" w:hAnsi="Cambria" w:cs="Arial"/>
          <w:b/>
          <w:szCs w:val="20"/>
        </w:rPr>
        <w:t xml:space="preserve"> PRO ČÁST 2: PLETHYSMOGRAF</w:t>
      </w:r>
    </w:p>
    <w:p w14:paraId="79F6CEB6" w14:textId="77777777" w:rsidR="00E73245" w:rsidRPr="00E73245" w:rsidRDefault="00E73245" w:rsidP="00CF041C">
      <w:pPr>
        <w:spacing w:beforeLines="60" w:before="144" w:afterLines="60" w:after="144"/>
        <w:jc w:val="center"/>
        <w:rPr>
          <w:rFonts w:ascii="Cambria" w:hAnsi="Cambria" w:cs="Arial"/>
          <w:b/>
          <w:szCs w:val="20"/>
        </w:rPr>
      </w:pPr>
    </w:p>
    <w:p w14:paraId="4EC98E56" w14:textId="12A9E051" w:rsidR="00CF041C" w:rsidRPr="00E73245" w:rsidRDefault="00CF041C" w:rsidP="00CF041C">
      <w:pPr>
        <w:pStyle w:val="NADPIS1"/>
        <w:spacing w:beforeLines="60" w:before="144" w:afterLines="60" w:after="144"/>
        <w:rPr>
          <w:rFonts w:ascii="Cambria" w:hAnsi="Cambria"/>
          <w:lang w:eastAsia="en-US"/>
        </w:rPr>
      </w:pPr>
      <w:r w:rsidRPr="00E73245">
        <w:rPr>
          <w:rFonts w:ascii="Cambria" w:hAnsi="Cambria"/>
          <w:lang w:eastAsia="en-US"/>
        </w:rPr>
        <w:t xml:space="preserve">1. Celotělový </w:t>
      </w:r>
      <w:proofErr w:type="spellStart"/>
      <w:r w:rsidRPr="00E73245">
        <w:rPr>
          <w:rFonts w:ascii="Cambria" w:hAnsi="Cambria"/>
          <w:lang w:eastAsia="en-US"/>
        </w:rPr>
        <w:t>plet</w:t>
      </w:r>
      <w:r w:rsidR="001067BA">
        <w:rPr>
          <w:rFonts w:ascii="Cambria" w:hAnsi="Cambria"/>
          <w:lang w:eastAsia="en-US"/>
        </w:rPr>
        <w:t>h</w:t>
      </w:r>
      <w:r w:rsidRPr="00E73245">
        <w:rPr>
          <w:rFonts w:ascii="Cambria" w:hAnsi="Cambria"/>
          <w:lang w:eastAsia="en-US"/>
        </w:rPr>
        <w:t>ysmograf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72"/>
        <w:gridCol w:w="3785"/>
        <w:gridCol w:w="1985"/>
        <w:gridCol w:w="2268"/>
      </w:tblGrid>
      <w:tr w:rsidR="00CF041C" w:rsidRPr="00E73245" w14:paraId="1DC1B428" w14:textId="77777777" w:rsidTr="001674CF">
        <w:trPr>
          <w:trHeight w:val="1112"/>
        </w:trPr>
        <w:tc>
          <w:tcPr>
            <w:tcW w:w="772" w:type="dxa"/>
            <w:vAlign w:val="center"/>
          </w:tcPr>
          <w:p w14:paraId="256655C8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rPr>
                <w:rFonts w:ascii="Cambria" w:hAnsi="Cambria"/>
                <w:lang w:eastAsia="en-US"/>
              </w:rPr>
            </w:pPr>
            <w:proofErr w:type="spellStart"/>
            <w:r w:rsidRPr="00E73245">
              <w:rPr>
                <w:rFonts w:ascii="Cambria" w:hAnsi="Cambria"/>
                <w:lang w:eastAsia="en-US"/>
              </w:rPr>
              <w:t>Poř.č</w:t>
            </w:r>
            <w:proofErr w:type="spellEnd"/>
            <w:r w:rsidRPr="00E73245">
              <w:rPr>
                <w:rFonts w:ascii="Cambria" w:hAnsi="Cambria"/>
                <w:lang w:eastAsia="en-US"/>
              </w:rPr>
              <w:t>.</w:t>
            </w:r>
          </w:p>
        </w:tc>
        <w:tc>
          <w:tcPr>
            <w:tcW w:w="3785" w:type="dxa"/>
            <w:vAlign w:val="center"/>
          </w:tcPr>
          <w:p w14:paraId="61F599A5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lang w:eastAsia="en-US"/>
              </w:rPr>
              <w:t>Parametr</w:t>
            </w:r>
          </w:p>
        </w:tc>
        <w:tc>
          <w:tcPr>
            <w:tcW w:w="1985" w:type="dxa"/>
            <w:vAlign w:val="center"/>
          </w:tcPr>
          <w:p w14:paraId="26142D6E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lang w:eastAsia="en-US"/>
              </w:rPr>
              <w:t>Druh technického parametru</w:t>
            </w:r>
          </w:p>
        </w:tc>
        <w:tc>
          <w:tcPr>
            <w:tcW w:w="2268" w:type="dxa"/>
            <w:vAlign w:val="center"/>
          </w:tcPr>
          <w:p w14:paraId="6F1F8A4F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lang w:eastAsia="en-US"/>
              </w:rPr>
              <w:t>Reálná hodnota (vyplní účastník)</w:t>
            </w:r>
          </w:p>
          <w:p w14:paraId="2809DF21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lang w:eastAsia="en-US"/>
              </w:rPr>
              <w:t>ano/ne/hodnota</w:t>
            </w:r>
          </w:p>
        </w:tc>
      </w:tr>
      <w:tr w:rsidR="00CF041C" w:rsidRPr="00E73245" w14:paraId="778F1493" w14:textId="77777777" w:rsidTr="001674CF">
        <w:tc>
          <w:tcPr>
            <w:tcW w:w="772" w:type="dxa"/>
            <w:vAlign w:val="center"/>
          </w:tcPr>
          <w:p w14:paraId="2B291ABB" w14:textId="77777777" w:rsidR="00CF041C" w:rsidRPr="00E73245" w:rsidRDefault="00CF041C" w:rsidP="00CF041C">
            <w:pPr>
              <w:pStyle w:val="NADPIS1"/>
              <w:numPr>
                <w:ilvl w:val="0"/>
                <w:numId w:val="2"/>
              </w:numPr>
              <w:spacing w:beforeLines="60" w:before="144" w:afterLines="60" w:after="144" w:line="240" w:lineRule="auto"/>
              <w:rPr>
                <w:rFonts w:ascii="Cambria" w:hAnsi="Cambria"/>
                <w:b w:val="0"/>
              </w:rPr>
            </w:pPr>
          </w:p>
        </w:tc>
        <w:tc>
          <w:tcPr>
            <w:tcW w:w="3785" w:type="dxa"/>
            <w:vAlign w:val="center"/>
          </w:tcPr>
          <w:p w14:paraId="62F33440" w14:textId="77777777" w:rsidR="00CF041C" w:rsidRPr="00E73245" w:rsidRDefault="00CF041C" w:rsidP="001674CF">
            <w:pPr>
              <w:widowControl w:val="0"/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/>
              <w:ind w:right="-62"/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Arial"/>
                <w:sz w:val="20"/>
                <w:szCs w:val="20"/>
              </w:rPr>
              <w:t>Nový, nepoužitý, nerepasovaný zdravotnický prostředek</w:t>
            </w:r>
          </w:p>
        </w:tc>
        <w:tc>
          <w:tcPr>
            <w:tcW w:w="1985" w:type="dxa"/>
            <w:vAlign w:val="center"/>
          </w:tcPr>
          <w:p w14:paraId="27285D8F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5299F66A" w14:textId="7900B20A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6238E5CE" w14:textId="77777777" w:rsidTr="001674CF">
        <w:tc>
          <w:tcPr>
            <w:tcW w:w="772" w:type="dxa"/>
            <w:vAlign w:val="center"/>
          </w:tcPr>
          <w:p w14:paraId="471543F6" w14:textId="77777777" w:rsidR="00CF041C" w:rsidRPr="00E73245" w:rsidRDefault="00CF041C" w:rsidP="00CF041C">
            <w:pPr>
              <w:pStyle w:val="NADPIS1"/>
              <w:numPr>
                <w:ilvl w:val="0"/>
                <w:numId w:val="2"/>
              </w:numPr>
              <w:spacing w:beforeLines="60" w:before="144" w:afterLines="60" w:after="144" w:line="240" w:lineRule="auto"/>
              <w:rPr>
                <w:rFonts w:ascii="Cambria" w:hAnsi="Cambria"/>
                <w:b w:val="0"/>
              </w:rPr>
            </w:pPr>
          </w:p>
        </w:tc>
        <w:tc>
          <w:tcPr>
            <w:tcW w:w="3785" w:type="dxa"/>
            <w:vAlign w:val="center"/>
          </w:tcPr>
          <w:p w14:paraId="15DD1840" w14:textId="77777777" w:rsidR="00CF041C" w:rsidRPr="00E73245" w:rsidRDefault="00CF041C" w:rsidP="001674CF">
            <w:pPr>
              <w:widowControl w:val="0"/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/>
              <w:ind w:right="-62"/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Arial"/>
                <w:sz w:val="20"/>
                <w:szCs w:val="20"/>
              </w:rPr>
              <w:t>Celotělový pletysmografický vyšetřovací systém pro stanovení statických a dynamických plicních objemů a proudových odporů dýchacích cest, difúzní kapacity plic (DLCO) a dalších parametrů plicní mechaniky.</w:t>
            </w:r>
          </w:p>
        </w:tc>
        <w:tc>
          <w:tcPr>
            <w:tcW w:w="1985" w:type="dxa"/>
            <w:vAlign w:val="center"/>
          </w:tcPr>
          <w:p w14:paraId="5DF80798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0F4842D7" w14:textId="2ABB2245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4E1D949C" w14:textId="77777777" w:rsidTr="001674CF">
        <w:tc>
          <w:tcPr>
            <w:tcW w:w="772" w:type="dxa"/>
            <w:vAlign w:val="center"/>
          </w:tcPr>
          <w:p w14:paraId="3BD4F66A" w14:textId="77777777" w:rsidR="00CF041C" w:rsidRPr="00E73245" w:rsidRDefault="00CF041C" w:rsidP="00CF041C">
            <w:pPr>
              <w:pStyle w:val="NADPIS1"/>
              <w:numPr>
                <w:ilvl w:val="0"/>
                <w:numId w:val="2"/>
              </w:numPr>
              <w:spacing w:beforeLines="60" w:before="144" w:afterLines="60" w:after="144" w:line="240" w:lineRule="auto"/>
              <w:rPr>
                <w:rFonts w:ascii="Cambria" w:hAnsi="Cambria"/>
                <w:b w:val="0"/>
              </w:rPr>
            </w:pPr>
          </w:p>
        </w:tc>
        <w:tc>
          <w:tcPr>
            <w:tcW w:w="3785" w:type="dxa"/>
            <w:vAlign w:val="center"/>
          </w:tcPr>
          <w:p w14:paraId="73FE0D88" w14:textId="77777777" w:rsidR="00CF041C" w:rsidRPr="00E73245" w:rsidRDefault="00CF041C" w:rsidP="001674CF">
            <w:pPr>
              <w:widowControl w:val="0"/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/>
              <w:ind w:right="-62"/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Arial"/>
                <w:sz w:val="20"/>
                <w:szCs w:val="20"/>
              </w:rPr>
              <w:t xml:space="preserve">Základní funkce (statická spirometrie, dynamická </w:t>
            </w:r>
            <w:proofErr w:type="gramStart"/>
            <w:r w:rsidRPr="00E73245">
              <w:rPr>
                <w:rFonts w:ascii="Cambria" w:hAnsi="Cambria" w:cs="Arial"/>
                <w:sz w:val="20"/>
                <w:szCs w:val="20"/>
              </w:rPr>
              <w:t>spirometrie - křivka</w:t>
            </w:r>
            <w:proofErr w:type="gramEnd"/>
            <w:r w:rsidRPr="00E73245">
              <w:rPr>
                <w:rFonts w:ascii="Cambria" w:hAnsi="Cambria" w:cs="Arial"/>
                <w:sz w:val="20"/>
                <w:szCs w:val="20"/>
              </w:rPr>
              <w:t xml:space="preserve"> průtok/objem, </w:t>
            </w:r>
            <w:proofErr w:type="spellStart"/>
            <w:r w:rsidRPr="00E73245">
              <w:rPr>
                <w:rFonts w:ascii="Cambria" w:hAnsi="Cambria" w:cs="Arial"/>
                <w:sz w:val="20"/>
                <w:szCs w:val="20"/>
              </w:rPr>
              <w:t>intrathorakální</w:t>
            </w:r>
            <w:proofErr w:type="spellEnd"/>
            <w:r w:rsidRPr="00E73245">
              <w:rPr>
                <w:rFonts w:ascii="Cambria" w:hAnsi="Cambria" w:cs="Arial"/>
                <w:sz w:val="20"/>
                <w:szCs w:val="20"/>
              </w:rPr>
              <w:t xml:space="preserve"> objemy, proudové odpory </w:t>
            </w:r>
            <w:proofErr w:type="spellStart"/>
            <w:r w:rsidRPr="00E73245">
              <w:rPr>
                <w:rFonts w:ascii="Cambria" w:hAnsi="Cambria" w:cs="Arial"/>
                <w:sz w:val="20"/>
                <w:szCs w:val="20"/>
              </w:rPr>
              <w:t>Raw</w:t>
            </w:r>
            <w:proofErr w:type="spellEnd"/>
            <w:r w:rsidRPr="00E73245">
              <w:rPr>
                <w:rFonts w:ascii="Cambria" w:hAnsi="Cambria" w:cs="Arial"/>
                <w:sz w:val="20"/>
                <w:szCs w:val="20"/>
              </w:rPr>
              <w:t>)</w:t>
            </w:r>
            <w:r w:rsidRPr="00E73245">
              <w:rPr>
                <w:rFonts w:ascii="Cambria" w:hAnsi="Cambria" w:cs="Arial"/>
                <w:sz w:val="20"/>
                <w:szCs w:val="20"/>
              </w:rPr>
              <w:tab/>
            </w:r>
            <w:r w:rsidRPr="00E73245">
              <w:rPr>
                <w:rFonts w:ascii="Cambria" w:hAnsi="Cambria" w:cs="Arial"/>
                <w:sz w:val="20"/>
                <w:szCs w:val="20"/>
              </w:rPr>
              <w:tab/>
            </w:r>
            <w:r w:rsidRPr="00E73245">
              <w:rPr>
                <w:rFonts w:ascii="Cambria" w:hAnsi="Cambria" w:cs="Arial"/>
                <w:sz w:val="20"/>
                <w:szCs w:val="20"/>
              </w:rPr>
              <w:tab/>
            </w:r>
          </w:p>
        </w:tc>
        <w:tc>
          <w:tcPr>
            <w:tcW w:w="1985" w:type="dxa"/>
            <w:vAlign w:val="center"/>
          </w:tcPr>
          <w:p w14:paraId="745A101E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3E293686" w14:textId="681E75A0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3472F208" w14:textId="77777777" w:rsidTr="001674CF">
        <w:tc>
          <w:tcPr>
            <w:tcW w:w="772" w:type="dxa"/>
          </w:tcPr>
          <w:p w14:paraId="5FDB0E05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71B5BE7D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Prostorná kabina pro snadný přístup a posazení jak dětí, tak dospělých pacientů, nosnost židle min. 140 kg</w:t>
            </w:r>
          </w:p>
        </w:tc>
        <w:tc>
          <w:tcPr>
            <w:tcW w:w="1985" w:type="dxa"/>
          </w:tcPr>
          <w:p w14:paraId="6459B818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60F86621" w14:textId="73935CAE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7EC5B90C" w14:textId="77777777" w:rsidTr="001674CF">
        <w:tc>
          <w:tcPr>
            <w:tcW w:w="772" w:type="dxa"/>
          </w:tcPr>
          <w:p w14:paraId="38BBE1EA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1AD6B304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Výsuvná židle v prostoru kabiny</w:t>
            </w:r>
          </w:p>
        </w:tc>
        <w:tc>
          <w:tcPr>
            <w:tcW w:w="1985" w:type="dxa"/>
          </w:tcPr>
          <w:p w14:paraId="399E4E3C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092C2CF7" w14:textId="77576C14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3F9EA412" w14:textId="77777777" w:rsidTr="001674CF">
        <w:tc>
          <w:tcPr>
            <w:tcW w:w="772" w:type="dxa"/>
          </w:tcPr>
          <w:p w14:paraId="0258FFD8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2B5BA5F6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Elektronické ovládání výšky stativu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bodypletysmografu</w:t>
            </w:r>
            <w:proofErr w:type="spellEnd"/>
          </w:p>
        </w:tc>
        <w:tc>
          <w:tcPr>
            <w:tcW w:w="1985" w:type="dxa"/>
          </w:tcPr>
          <w:p w14:paraId="75FA9373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28F7A5C1" w14:textId="6FDA389E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5AD4A879" w14:textId="77777777" w:rsidTr="001674CF">
        <w:tc>
          <w:tcPr>
            <w:tcW w:w="772" w:type="dxa"/>
          </w:tcPr>
          <w:p w14:paraId="440920E7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2D401A02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Elektromagnetické uzavírání dveří kabiny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bodypletysmografu</w:t>
            </w:r>
            <w:proofErr w:type="spellEnd"/>
          </w:p>
        </w:tc>
        <w:tc>
          <w:tcPr>
            <w:tcW w:w="1985" w:type="dxa"/>
          </w:tcPr>
          <w:p w14:paraId="0F327B46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1EAFD6EB" w14:textId="21BB0142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12BA535F" w14:textId="77777777" w:rsidTr="001674CF">
        <w:tc>
          <w:tcPr>
            <w:tcW w:w="772" w:type="dxa"/>
          </w:tcPr>
          <w:p w14:paraId="2B4FFF27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36FC42CD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Možnost otevření dveří kabiny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bodypletysmografu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zevnitř pacientem</w:t>
            </w:r>
          </w:p>
        </w:tc>
        <w:tc>
          <w:tcPr>
            <w:tcW w:w="1985" w:type="dxa"/>
          </w:tcPr>
          <w:p w14:paraId="069B7ED4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165D4204" w14:textId="1E2BFE32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15F9C9E3" w14:textId="77777777" w:rsidTr="001674CF">
        <w:tc>
          <w:tcPr>
            <w:tcW w:w="772" w:type="dxa"/>
          </w:tcPr>
          <w:p w14:paraId="111D14AB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23AE9D98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Možnost ovládání stativu obsluhujícím personálem z vně kabiny</w:t>
            </w:r>
          </w:p>
        </w:tc>
        <w:tc>
          <w:tcPr>
            <w:tcW w:w="1985" w:type="dxa"/>
          </w:tcPr>
          <w:p w14:paraId="7CE08FE8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4DFDA041" w14:textId="18C38701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4F604661" w14:textId="77777777" w:rsidTr="001674CF">
        <w:tc>
          <w:tcPr>
            <w:tcW w:w="772" w:type="dxa"/>
          </w:tcPr>
          <w:p w14:paraId="2AC2CF00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0E8BFC0F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Nouzové otevření dveří při výpadku elektrického proudu </w:t>
            </w:r>
          </w:p>
        </w:tc>
        <w:tc>
          <w:tcPr>
            <w:tcW w:w="1985" w:type="dxa"/>
          </w:tcPr>
          <w:p w14:paraId="2B5182BF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7111B52C" w14:textId="201EE5BE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6D6A2CEC" w14:textId="77777777" w:rsidTr="001674CF">
        <w:tc>
          <w:tcPr>
            <w:tcW w:w="772" w:type="dxa"/>
          </w:tcPr>
          <w:p w14:paraId="3B78D892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26193102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Skleněná výplň kabiny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bodypletysmografu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(tvrzené </w:t>
            </w:r>
            <w:r w:rsidRPr="00E73245">
              <w:rPr>
                <w:rFonts w:ascii="Cambria" w:hAnsi="Cambria" w:cs="Calibri"/>
                <w:color w:val="000000"/>
              </w:rPr>
              <w:lastRenderedPageBreak/>
              <w:t>nerozbitné sklo)</w:t>
            </w:r>
          </w:p>
        </w:tc>
        <w:tc>
          <w:tcPr>
            <w:tcW w:w="1985" w:type="dxa"/>
          </w:tcPr>
          <w:p w14:paraId="2F79D6A5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lastRenderedPageBreak/>
              <w:t>absolutní</w:t>
            </w:r>
          </w:p>
        </w:tc>
        <w:tc>
          <w:tcPr>
            <w:tcW w:w="2268" w:type="dxa"/>
          </w:tcPr>
          <w:p w14:paraId="702C4544" w14:textId="5C605C39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3EE5528F" w14:textId="77777777" w:rsidTr="001674CF">
        <w:tc>
          <w:tcPr>
            <w:tcW w:w="772" w:type="dxa"/>
          </w:tcPr>
          <w:p w14:paraId="1D4A573E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4801A297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Nízká nástupová hrana kabiny (max. výška 10 cm)</w:t>
            </w:r>
          </w:p>
        </w:tc>
        <w:tc>
          <w:tcPr>
            <w:tcW w:w="1985" w:type="dxa"/>
          </w:tcPr>
          <w:p w14:paraId="01C7561F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573F9FE1" w14:textId="77BEEB5E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50BF93B8" w14:textId="77777777" w:rsidTr="001674CF">
        <w:tc>
          <w:tcPr>
            <w:tcW w:w="772" w:type="dxa"/>
          </w:tcPr>
          <w:p w14:paraId="7E9CFDEE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67C68653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Odolnost konstrukce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bodypletysmografu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vůči fyzikálním vlivům i chemickým (dezinfekčním) látkám</w:t>
            </w:r>
          </w:p>
        </w:tc>
        <w:tc>
          <w:tcPr>
            <w:tcW w:w="1985" w:type="dxa"/>
          </w:tcPr>
          <w:p w14:paraId="461C0986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3CA63EAF" w14:textId="72586E3B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0516F740" w14:textId="77777777" w:rsidTr="001674CF">
        <w:tc>
          <w:tcPr>
            <w:tcW w:w="772" w:type="dxa"/>
          </w:tcPr>
          <w:p w14:paraId="6092D302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</w:tcPr>
          <w:p w14:paraId="7BB5D368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Ovládání kabiny (dveře, stativ)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bodypletysmografu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bez použití vyšetřovacího plynu</w:t>
            </w:r>
          </w:p>
        </w:tc>
        <w:tc>
          <w:tcPr>
            <w:tcW w:w="1985" w:type="dxa"/>
          </w:tcPr>
          <w:p w14:paraId="097C3B44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</w:tcPr>
          <w:p w14:paraId="7DFA4431" w14:textId="4589BBA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20CC25F9" w14:textId="77777777" w:rsidTr="001674CF">
        <w:tc>
          <w:tcPr>
            <w:tcW w:w="772" w:type="dxa"/>
            <w:vAlign w:val="center"/>
          </w:tcPr>
          <w:p w14:paraId="5D181802" w14:textId="77777777" w:rsidR="00CF041C" w:rsidRPr="00E73245" w:rsidRDefault="00CF041C" w:rsidP="00CF041C">
            <w:pPr>
              <w:pStyle w:val="NADPIS1"/>
              <w:numPr>
                <w:ilvl w:val="0"/>
                <w:numId w:val="2"/>
              </w:numPr>
              <w:spacing w:beforeLines="60" w:before="144" w:afterLines="60" w:after="144" w:line="240" w:lineRule="auto"/>
              <w:rPr>
                <w:rFonts w:ascii="Cambria" w:hAnsi="Cambria"/>
                <w:b w:val="0"/>
              </w:rPr>
            </w:pPr>
          </w:p>
        </w:tc>
        <w:tc>
          <w:tcPr>
            <w:tcW w:w="3785" w:type="dxa"/>
            <w:vAlign w:val="center"/>
          </w:tcPr>
          <w:p w14:paraId="005DE2B1" w14:textId="77777777" w:rsidR="00CF041C" w:rsidRPr="00E73245" w:rsidRDefault="00CF041C" w:rsidP="001674CF">
            <w:pPr>
              <w:widowControl w:val="0"/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/>
              <w:ind w:right="-62"/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Arial"/>
                <w:sz w:val="20"/>
                <w:szCs w:val="20"/>
              </w:rPr>
              <w:t xml:space="preserve">Schopnost měřit výdech déle než 15 sekund a objem větší než 8 litrů s přesností ± 3 % nebo ± 0,05 litru v rozmezí průtoku </w:t>
            </w:r>
            <w:proofErr w:type="gramStart"/>
            <w:r w:rsidRPr="00E73245">
              <w:rPr>
                <w:rFonts w:ascii="Cambria" w:hAnsi="Cambria" w:cs="Arial"/>
                <w:sz w:val="20"/>
                <w:szCs w:val="20"/>
              </w:rPr>
              <w:t>0 - 14</w:t>
            </w:r>
            <w:proofErr w:type="gramEnd"/>
            <w:r w:rsidRPr="00E73245">
              <w:rPr>
                <w:rFonts w:ascii="Cambria" w:hAnsi="Cambria" w:cs="Arial"/>
                <w:sz w:val="20"/>
                <w:szCs w:val="20"/>
              </w:rPr>
              <w:t xml:space="preserve"> l/s</w:t>
            </w:r>
            <w:r w:rsidRPr="00E73245">
              <w:rPr>
                <w:rFonts w:ascii="Cambria" w:hAnsi="Cambria" w:cs="Arial"/>
                <w:sz w:val="20"/>
                <w:szCs w:val="20"/>
              </w:rPr>
              <w:tab/>
            </w:r>
            <w:r w:rsidRPr="00E73245">
              <w:rPr>
                <w:rFonts w:ascii="Cambria" w:hAnsi="Cambria" w:cs="Arial"/>
                <w:sz w:val="20"/>
                <w:szCs w:val="20"/>
              </w:rPr>
              <w:tab/>
            </w:r>
          </w:p>
        </w:tc>
        <w:tc>
          <w:tcPr>
            <w:tcW w:w="1985" w:type="dxa"/>
            <w:vAlign w:val="center"/>
          </w:tcPr>
          <w:p w14:paraId="2CCE4B3C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012919B7" w14:textId="4FF0D700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4653EE9A" w14:textId="77777777" w:rsidTr="001674CF">
        <w:tc>
          <w:tcPr>
            <w:tcW w:w="772" w:type="dxa"/>
            <w:vAlign w:val="center"/>
          </w:tcPr>
          <w:p w14:paraId="52D9868B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7E0B539A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Celkový odpor proudění vzduchu při průtoku 14 l/s menší než 1,5 cm H2O/I/s (0,15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kPa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>/l/s)</w:t>
            </w:r>
          </w:p>
        </w:tc>
        <w:tc>
          <w:tcPr>
            <w:tcW w:w="1985" w:type="dxa"/>
            <w:vAlign w:val="center"/>
          </w:tcPr>
          <w:p w14:paraId="13934005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130BCA13" w14:textId="6574F2F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1C3FA987" w14:textId="77777777" w:rsidTr="001674CF">
        <w:tc>
          <w:tcPr>
            <w:tcW w:w="772" w:type="dxa"/>
            <w:vAlign w:val="center"/>
          </w:tcPr>
          <w:p w14:paraId="1CF57086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0EEA91B6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Měření statických objemů </w:t>
            </w:r>
            <w:proofErr w:type="gramStart"/>
            <w:r w:rsidRPr="00E73245">
              <w:rPr>
                <w:rFonts w:ascii="Cambria" w:hAnsi="Cambria" w:cs="Calibri"/>
                <w:color w:val="000000"/>
              </w:rPr>
              <w:t>( min.</w:t>
            </w:r>
            <w:proofErr w:type="gramEnd"/>
            <w:r w:rsidRPr="00E73245">
              <w:rPr>
                <w:rFonts w:ascii="Cambria" w:hAnsi="Cambria" w:cs="Calibri"/>
                <w:color w:val="000000"/>
              </w:rPr>
              <w:t xml:space="preserve"> TGV, VC, IRV, ERV, RV, FRC, TLC, RV a odvozené parametry</w:t>
            </w:r>
          </w:p>
        </w:tc>
        <w:tc>
          <w:tcPr>
            <w:tcW w:w="1985" w:type="dxa"/>
            <w:vAlign w:val="center"/>
          </w:tcPr>
          <w:p w14:paraId="57E49C1A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784578FE" w14:textId="5299D102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3D290602" w14:textId="77777777" w:rsidTr="001674CF">
        <w:tc>
          <w:tcPr>
            <w:tcW w:w="772" w:type="dxa"/>
            <w:vAlign w:val="center"/>
          </w:tcPr>
          <w:p w14:paraId="51576041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20149101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Měření dynamických plicních objemů (min. FVC, FEV1, FEV1/FVC, FIV1, SVC, ERV, IRV, IC, EC, MVV,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bronchoprovokační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testy)</w:t>
            </w:r>
          </w:p>
        </w:tc>
        <w:tc>
          <w:tcPr>
            <w:tcW w:w="1985" w:type="dxa"/>
            <w:vAlign w:val="center"/>
          </w:tcPr>
          <w:p w14:paraId="500BA2B6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696E07AA" w14:textId="71F42D6A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66C5DD6F" w14:textId="77777777" w:rsidTr="001674CF">
        <w:tc>
          <w:tcPr>
            <w:tcW w:w="772" w:type="dxa"/>
            <w:vAlign w:val="center"/>
          </w:tcPr>
          <w:p w14:paraId="69D8613A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2D16DA7E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>Měření proudových odporů (RAW, SRAW + odvozené vodivosti GRW, SGAW)</w:t>
            </w:r>
          </w:p>
        </w:tc>
        <w:tc>
          <w:tcPr>
            <w:tcW w:w="1985" w:type="dxa"/>
            <w:vAlign w:val="center"/>
          </w:tcPr>
          <w:p w14:paraId="60C8E73E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165C1CB4" w14:textId="3F7F26BB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530ACAD3" w14:textId="77777777" w:rsidTr="001674CF">
        <w:tc>
          <w:tcPr>
            <w:tcW w:w="772" w:type="dxa"/>
            <w:vAlign w:val="center"/>
          </w:tcPr>
          <w:p w14:paraId="4FCCE66E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02B0F483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/>
                <w:sz w:val="20"/>
                <w:szCs w:val="20"/>
              </w:rPr>
              <w:t>Vyšetření maximálních tlaků MIP/MEP (tj. měření síly inspiračního a expiračního svalstva</w:t>
            </w:r>
          </w:p>
        </w:tc>
        <w:tc>
          <w:tcPr>
            <w:tcW w:w="1985" w:type="dxa"/>
            <w:vAlign w:val="center"/>
          </w:tcPr>
          <w:p w14:paraId="59A1044E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112EFF74" w14:textId="0BFDAB14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70554969" w14:textId="77777777" w:rsidTr="001674CF">
        <w:tc>
          <w:tcPr>
            <w:tcW w:w="772" w:type="dxa"/>
            <w:vAlign w:val="center"/>
          </w:tcPr>
          <w:p w14:paraId="6013D7A4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7444AA5B" w14:textId="77777777" w:rsidR="00CF041C" w:rsidRPr="00E73245" w:rsidRDefault="00CF041C" w:rsidP="001674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73245">
              <w:rPr>
                <w:rFonts w:ascii="Cambria" w:hAnsi="Cambria"/>
                <w:sz w:val="20"/>
                <w:szCs w:val="20"/>
              </w:rPr>
              <w:t>Jednodechová</w:t>
            </w:r>
            <w:proofErr w:type="spellEnd"/>
            <w:r w:rsidRPr="00E73245">
              <w:rPr>
                <w:rFonts w:ascii="Cambria" w:hAnsi="Cambria"/>
                <w:sz w:val="20"/>
                <w:szCs w:val="20"/>
              </w:rPr>
              <w:t xml:space="preserve"> TLCO (tj. </w:t>
            </w:r>
            <w:proofErr w:type="spellStart"/>
            <w:r w:rsidRPr="00E73245">
              <w:rPr>
                <w:rFonts w:ascii="Cambria" w:hAnsi="Cambria"/>
                <w:sz w:val="20"/>
                <w:szCs w:val="20"/>
              </w:rPr>
              <w:t>transferfaktor</w:t>
            </w:r>
            <w:proofErr w:type="spellEnd"/>
            <w:r w:rsidRPr="00E73245">
              <w:rPr>
                <w:rFonts w:ascii="Cambria" w:hAnsi="Cambria"/>
                <w:sz w:val="20"/>
                <w:szCs w:val="20"/>
              </w:rPr>
              <w:t xml:space="preserve"> – difúze) pro vyšetření plicní difuze s použitím methanu jako transportního plynu</w:t>
            </w:r>
          </w:p>
        </w:tc>
        <w:tc>
          <w:tcPr>
            <w:tcW w:w="1985" w:type="dxa"/>
            <w:vAlign w:val="center"/>
          </w:tcPr>
          <w:p w14:paraId="094867F6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39C9086E" w14:textId="1D98DB42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5D358A7D" w14:textId="77777777" w:rsidTr="001674CF">
        <w:tc>
          <w:tcPr>
            <w:tcW w:w="772" w:type="dxa"/>
            <w:vAlign w:val="center"/>
          </w:tcPr>
          <w:p w14:paraId="12EE3F1A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58F788F5" w14:textId="77777777" w:rsidR="00CF041C" w:rsidRPr="00E73245" w:rsidRDefault="00CF041C" w:rsidP="001674CF">
            <w:pPr>
              <w:rPr>
                <w:rFonts w:ascii="Cambria" w:hAnsi="Cambria"/>
                <w:sz w:val="20"/>
                <w:szCs w:val="20"/>
              </w:rPr>
            </w:pPr>
            <w:r w:rsidRPr="00E73245">
              <w:rPr>
                <w:rFonts w:ascii="Cambria" w:hAnsi="Cambria"/>
                <w:sz w:val="20"/>
                <w:szCs w:val="20"/>
              </w:rPr>
              <w:t>On-line vzorkování plynu pro vyšetření TLCO</w:t>
            </w:r>
          </w:p>
        </w:tc>
        <w:tc>
          <w:tcPr>
            <w:tcW w:w="1985" w:type="dxa"/>
            <w:vAlign w:val="center"/>
          </w:tcPr>
          <w:p w14:paraId="2B4E07E8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6B920E25" w14:textId="0C204746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77B0B367" w14:textId="77777777" w:rsidTr="001674CF">
        <w:tc>
          <w:tcPr>
            <w:tcW w:w="772" w:type="dxa"/>
            <w:vAlign w:val="center"/>
          </w:tcPr>
          <w:p w14:paraId="6A0ED0B9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556A37F3" w14:textId="77777777" w:rsidR="00CF041C" w:rsidRPr="00E73245" w:rsidRDefault="00CF041C" w:rsidP="001674CF">
            <w:pPr>
              <w:rPr>
                <w:rFonts w:ascii="Cambria" w:hAnsi="Cambria"/>
                <w:sz w:val="20"/>
                <w:szCs w:val="20"/>
              </w:rPr>
            </w:pPr>
            <w:r w:rsidRPr="00E73245">
              <w:rPr>
                <w:rFonts w:ascii="Cambria" w:hAnsi="Cambria"/>
                <w:sz w:val="20"/>
                <w:szCs w:val="20"/>
              </w:rPr>
              <w:t xml:space="preserve">Off-line doplnění hodnoty </w:t>
            </w:r>
            <w:proofErr w:type="spellStart"/>
            <w:r w:rsidRPr="00E73245">
              <w:rPr>
                <w:rFonts w:ascii="Cambria" w:hAnsi="Cambria"/>
                <w:sz w:val="20"/>
                <w:szCs w:val="20"/>
              </w:rPr>
              <w:t>Hb</w:t>
            </w:r>
            <w:proofErr w:type="spellEnd"/>
            <w:r w:rsidRPr="00E73245">
              <w:rPr>
                <w:rFonts w:ascii="Cambria" w:hAnsi="Cambria"/>
                <w:sz w:val="20"/>
                <w:szCs w:val="20"/>
              </w:rPr>
              <w:t xml:space="preserve">, Pa02, </w:t>
            </w:r>
            <w:proofErr w:type="spellStart"/>
            <w:r w:rsidRPr="00E73245">
              <w:rPr>
                <w:rFonts w:ascii="Cambria" w:hAnsi="Cambria"/>
                <w:sz w:val="20"/>
                <w:szCs w:val="20"/>
              </w:rPr>
              <w:t>COHb</w:t>
            </w:r>
            <w:proofErr w:type="spellEnd"/>
            <w:r w:rsidRPr="00E73245">
              <w:rPr>
                <w:rFonts w:ascii="Cambria" w:hAnsi="Cambria"/>
                <w:sz w:val="20"/>
                <w:szCs w:val="20"/>
              </w:rPr>
              <w:t xml:space="preserve"> a přepočítání výsledků TLCO</w:t>
            </w:r>
          </w:p>
        </w:tc>
        <w:tc>
          <w:tcPr>
            <w:tcW w:w="1985" w:type="dxa"/>
            <w:vAlign w:val="center"/>
          </w:tcPr>
          <w:p w14:paraId="66F150F2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52BB54CA" w14:textId="4D5B092B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6A6000F8" w14:textId="77777777" w:rsidTr="001674CF">
        <w:tc>
          <w:tcPr>
            <w:tcW w:w="772" w:type="dxa"/>
            <w:vAlign w:val="center"/>
          </w:tcPr>
          <w:p w14:paraId="50DF7772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27F6222A" w14:textId="77777777" w:rsidR="00CF041C" w:rsidRPr="00E73245" w:rsidRDefault="00CF041C" w:rsidP="001674CF">
            <w:pPr>
              <w:rPr>
                <w:rFonts w:ascii="Cambria" w:hAnsi="Cambria"/>
                <w:sz w:val="20"/>
                <w:szCs w:val="20"/>
              </w:rPr>
            </w:pPr>
            <w:r w:rsidRPr="00E73245">
              <w:rPr>
                <w:rFonts w:ascii="Cambria" w:hAnsi="Cambria"/>
                <w:sz w:val="20"/>
                <w:szCs w:val="20"/>
              </w:rPr>
              <w:t xml:space="preserve">Software modul pro provádění </w:t>
            </w:r>
            <w:proofErr w:type="spellStart"/>
            <w:r w:rsidRPr="00E73245">
              <w:rPr>
                <w:rFonts w:ascii="Cambria" w:hAnsi="Cambria"/>
                <w:sz w:val="20"/>
                <w:szCs w:val="20"/>
              </w:rPr>
              <w:t>bronchoprovokačních</w:t>
            </w:r>
            <w:proofErr w:type="spellEnd"/>
            <w:r w:rsidRPr="00E73245">
              <w:rPr>
                <w:rFonts w:ascii="Cambria" w:hAnsi="Cambria"/>
                <w:sz w:val="20"/>
                <w:szCs w:val="20"/>
              </w:rPr>
              <w:t xml:space="preserve"> testů</w:t>
            </w:r>
          </w:p>
        </w:tc>
        <w:tc>
          <w:tcPr>
            <w:tcW w:w="1985" w:type="dxa"/>
            <w:vAlign w:val="center"/>
          </w:tcPr>
          <w:p w14:paraId="28895F41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39180AB8" w14:textId="387B8E10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0DF5659B" w14:textId="77777777" w:rsidTr="001674CF">
        <w:tc>
          <w:tcPr>
            <w:tcW w:w="772" w:type="dxa"/>
            <w:vAlign w:val="center"/>
          </w:tcPr>
          <w:p w14:paraId="001218EB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51529549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Malý mrtvý prostor snímače průtoku (max. 25 ml)</w:t>
            </w:r>
          </w:p>
        </w:tc>
        <w:tc>
          <w:tcPr>
            <w:tcW w:w="1985" w:type="dxa"/>
            <w:vAlign w:val="center"/>
          </w:tcPr>
          <w:p w14:paraId="6835E7E9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highlight w:val="yellow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770ECDAD" w14:textId="7705D4AD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highlight w:val="yellow"/>
                <w:lang w:eastAsia="en-US"/>
              </w:rPr>
            </w:pPr>
          </w:p>
        </w:tc>
      </w:tr>
      <w:tr w:rsidR="00CF041C" w:rsidRPr="00E73245" w14:paraId="7E8E40F7" w14:textId="77777777" w:rsidTr="001674CF">
        <w:tc>
          <w:tcPr>
            <w:tcW w:w="772" w:type="dxa"/>
            <w:vAlign w:val="center"/>
          </w:tcPr>
          <w:p w14:paraId="1A47933F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46E8AA9C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Kalibrační pumpa </w:t>
            </w:r>
            <w:proofErr w:type="gramStart"/>
            <w:r w:rsidRPr="00E73245">
              <w:rPr>
                <w:rFonts w:ascii="Cambria" w:hAnsi="Cambria" w:cs="Calibri"/>
                <w:color w:val="000000"/>
              </w:rPr>
              <w:t>3l</w:t>
            </w:r>
            <w:proofErr w:type="gramEnd"/>
          </w:p>
        </w:tc>
        <w:tc>
          <w:tcPr>
            <w:tcW w:w="1985" w:type="dxa"/>
            <w:vAlign w:val="center"/>
          </w:tcPr>
          <w:p w14:paraId="66E5EA87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1D631E4D" w14:textId="35BCDB06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2188339C" w14:textId="77777777" w:rsidTr="001674CF">
        <w:tc>
          <w:tcPr>
            <w:tcW w:w="772" w:type="dxa"/>
            <w:vAlign w:val="center"/>
          </w:tcPr>
          <w:p w14:paraId="325F517F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0DC64217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Modul pro vyšetření plicní difuze (DLCO) metodou single-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breath</w:t>
            </w:r>
            <w:proofErr w:type="spellEnd"/>
          </w:p>
        </w:tc>
        <w:tc>
          <w:tcPr>
            <w:tcW w:w="1985" w:type="dxa"/>
            <w:vAlign w:val="center"/>
          </w:tcPr>
          <w:p w14:paraId="09E234BD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460DFBF8" w14:textId="292B377E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489CC6A3" w14:textId="77777777" w:rsidTr="001674CF">
        <w:tc>
          <w:tcPr>
            <w:tcW w:w="772" w:type="dxa"/>
            <w:vAlign w:val="center"/>
          </w:tcPr>
          <w:p w14:paraId="0130AB56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4329B68B" w14:textId="1D15CD40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Methan jako transportní plyn pro vyšetření DLCO</w:t>
            </w:r>
          </w:p>
        </w:tc>
        <w:tc>
          <w:tcPr>
            <w:tcW w:w="1985" w:type="dxa"/>
            <w:vAlign w:val="center"/>
          </w:tcPr>
          <w:p w14:paraId="324CC418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460BAA9B" w14:textId="79FCAD18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6CF8E46B" w14:textId="77777777" w:rsidTr="001674CF">
        <w:tc>
          <w:tcPr>
            <w:tcW w:w="772" w:type="dxa"/>
            <w:vAlign w:val="center"/>
          </w:tcPr>
          <w:p w14:paraId="417D3C3F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7C7D1F57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Pouze 1 láhev s plyny pro vyšetření DLCO a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bodypletysmografie</w:t>
            </w:r>
            <w:proofErr w:type="spellEnd"/>
          </w:p>
        </w:tc>
        <w:tc>
          <w:tcPr>
            <w:tcW w:w="1985" w:type="dxa"/>
            <w:vAlign w:val="center"/>
          </w:tcPr>
          <w:p w14:paraId="6728405E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0E3A486B" w14:textId="6D896721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20A94A83" w14:textId="77777777" w:rsidTr="001674CF">
        <w:tc>
          <w:tcPr>
            <w:tcW w:w="772" w:type="dxa"/>
            <w:vAlign w:val="center"/>
          </w:tcPr>
          <w:p w14:paraId="235FDBE0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2F82F5B8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On-line vzorkování plynu pro vyšetření DLCO (bez nutnosti vaku)</w:t>
            </w:r>
          </w:p>
        </w:tc>
        <w:tc>
          <w:tcPr>
            <w:tcW w:w="1985" w:type="dxa"/>
            <w:vAlign w:val="center"/>
          </w:tcPr>
          <w:p w14:paraId="4E196969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3FEDCB9E" w14:textId="4B464F1B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42E1AD25" w14:textId="77777777" w:rsidTr="001674CF">
        <w:tc>
          <w:tcPr>
            <w:tcW w:w="772" w:type="dxa"/>
            <w:vAlign w:val="center"/>
          </w:tcPr>
          <w:p w14:paraId="199C3C77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19C84F8A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Možnost off-line doplnění hodnoty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Hb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, Pa02,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COHb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a přepočítání výsledků DLCO</w:t>
            </w:r>
          </w:p>
        </w:tc>
        <w:tc>
          <w:tcPr>
            <w:tcW w:w="1985" w:type="dxa"/>
            <w:vAlign w:val="center"/>
          </w:tcPr>
          <w:p w14:paraId="34A01E5A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7DB92587" w14:textId="63558ADC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0004A994" w14:textId="77777777" w:rsidTr="001674CF">
        <w:tc>
          <w:tcPr>
            <w:tcW w:w="772" w:type="dxa"/>
            <w:vAlign w:val="center"/>
          </w:tcPr>
          <w:p w14:paraId="66BC3D14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5E8023E5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Automatické sledování hodnot mikroklimatických podmínek (BTPS modul) a jejich zařazení do přepočtu ATPS/BTPS </w:t>
            </w:r>
          </w:p>
        </w:tc>
        <w:tc>
          <w:tcPr>
            <w:tcW w:w="1985" w:type="dxa"/>
            <w:vAlign w:val="center"/>
          </w:tcPr>
          <w:p w14:paraId="74EDFD27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6915AFC3" w14:textId="63BD01C5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7B413BFF" w14:textId="77777777" w:rsidTr="001674CF">
        <w:tc>
          <w:tcPr>
            <w:tcW w:w="772" w:type="dxa"/>
            <w:vAlign w:val="center"/>
          </w:tcPr>
          <w:p w14:paraId="4DEA4F28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30EB9ACF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integrace měření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FeNO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do programu a možnost srovnání hodnot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FeNO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s např. FEV1 v jednom grafu</w:t>
            </w:r>
          </w:p>
        </w:tc>
        <w:tc>
          <w:tcPr>
            <w:tcW w:w="1985" w:type="dxa"/>
            <w:vAlign w:val="center"/>
          </w:tcPr>
          <w:p w14:paraId="599EC067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3A481B04" w14:textId="64F9D953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447A14B4" w14:textId="77777777" w:rsidTr="001674CF">
        <w:tc>
          <w:tcPr>
            <w:tcW w:w="772" w:type="dxa"/>
            <w:vAlign w:val="center"/>
          </w:tcPr>
          <w:p w14:paraId="10A793C9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07DD3A19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Přenos dat z nemocničního systému do přístroje a zpět pomoci standardu GDT/BDT včetně přenosů protokolů ve formátu *.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pdf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pomocí standardu GDT/BDT</w:t>
            </w:r>
          </w:p>
        </w:tc>
        <w:tc>
          <w:tcPr>
            <w:tcW w:w="1985" w:type="dxa"/>
            <w:vAlign w:val="center"/>
          </w:tcPr>
          <w:p w14:paraId="4D0A8DC6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28EDC3B7" w14:textId="60134188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29BD43AE" w14:textId="77777777" w:rsidTr="001674CF">
        <w:tc>
          <w:tcPr>
            <w:tcW w:w="772" w:type="dxa"/>
            <w:vAlign w:val="center"/>
          </w:tcPr>
          <w:p w14:paraId="1A791356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31E78AD5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E73245">
              <w:rPr>
                <w:rFonts w:ascii="Cambria" w:hAnsi="Cambria" w:cs="Calibri"/>
                <w:color w:val="000000"/>
              </w:rPr>
              <w:t>Pre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>/post analýza opakovaného vyšetření</w:t>
            </w:r>
          </w:p>
        </w:tc>
        <w:tc>
          <w:tcPr>
            <w:tcW w:w="1985" w:type="dxa"/>
            <w:vAlign w:val="center"/>
          </w:tcPr>
          <w:p w14:paraId="1AC5D6E3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32D17D36" w14:textId="5DC5EC53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472D2BC3" w14:textId="77777777" w:rsidTr="001674CF">
        <w:tc>
          <w:tcPr>
            <w:tcW w:w="772" w:type="dxa"/>
            <w:vAlign w:val="center"/>
          </w:tcPr>
          <w:p w14:paraId="5CDA337D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39F634FA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Plná kontrola ATS/ERS kritérií jak při měření, tak při vyšetření</w:t>
            </w:r>
          </w:p>
        </w:tc>
        <w:tc>
          <w:tcPr>
            <w:tcW w:w="1985" w:type="dxa"/>
            <w:vAlign w:val="center"/>
          </w:tcPr>
          <w:p w14:paraId="355B2A3F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05707B0C" w14:textId="0D0817E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03A8C1F6" w14:textId="77777777" w:rsidTr="001674CF">
        <w:tc>
          <w:tcPr>
            <w:tcW w:w="772" w:type="dxa"/>
            <w:vAlign w:val="center"/>
          </w:tcPr>
          <w:p w14:paraId="2AF4BEB8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0A455B62" w14:textId="77777777" w:rsidR="00CF041C" w:rsidRPr="00E73245" w:rsidRDefault="00CF041C" w:rsidP="001674CF">
            <w:pPr>
              <w:rPr>
                <w:rFonts w:ascii="Cambria" w:hAnsi="Cambria" w:cs="Arial"/>
                <w:sz w:val="20"/>
                <w:szCs w:val="20"/>
              </w:rPr>
            </w:pPr>
            <w:r w:rsidRPr="00E73245">
              <w:rPr>
                <w:rFonts w:ascii="Cambria" w:hAnsi="Cambria" w:cs="Calibri"/>
                <w:color w:val="000000"/>
              </w:rPr>
              <w:t>Možnost zobrazení individuálních trendů vybraných parametrů jednotlivého pacienta z různých vyšetření</w:t>
            </w:r>
          </w:p>
        </w:tc>
        <w:tc>
          <w:tcPr>
            <w:tcW w:w="1985" w:type="dxa"/>
            <w:vAlign w:val="center"/>
          </w:tcPr>
          <w:p w14:paraId="21CF7D78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300D2748" w14:textId="0A89B40A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61BDCB3F" w14:textId="77777777" w:rsidTr="001674CF">
        <w:tc>
          <w:tcPr>
            <w:tcW w:w="772" w:type="dxa"/>
            <w:vAlign w:val="center"/>
          </w:tcPr>
          <w:p w14:paraId="7C25B4CF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4D965D1D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Možnost dodatečné editace 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Vtg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(TGW) a odporů</w:t>
            </w:r>
          </w:p>
        </w:tc>
        <w:tc>
          <w:tcPr>
            <w:tcW w:w="1985" w:type="dxa"/>
            <w:vAlign w:val="center"/>
          </w:tcPr>
          <w:p w14:paraId="1C7EFB60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4E7E638C" w14:textId="5FCCA32C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6FED6C47" w14:textId="77777777" w:rsidTr="001674CF">
        <w:tc>
          <w:tcPr>
            <w:tcW w:w="772" w:type="dxa"/>
            <w:vAlign w:val="center"/>
          </w:tcPr>
          <w:p w14:paraId="492B247A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17232813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>Možnost exportu pacientských dat a výsledků (včetně grafů) pro potřeby dalšího zpracování a prezentování minimálně ve formátech *.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xls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(nebo *.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xlsx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>), *.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csv</w:t>
            </w:r>
            <w:proofErr w:type="spellEnd"/>
            <w:r w:rsidRPr="00E73245">
              <w:rPr>
                <w:rFonts w:ascii="Cambria" w:hAnsi="Cambria" w:cs="Calibri"/>
                <w:color w:val="000000"/>
              </w:rPr>
              <w:t xml:space="preserve"> a *.</w:t>
            </w:r>
            <w:proofErr w:type="spellStart"/>
            <w:r w:rsidRPr="00E73245">
              <w:rPr>
                <w:rFonts w:ascii="Cambria" w:hAnsi="Cambria" w:cs="Calibri"/>
                <w:color w:val="000000"/>
              </w:rPr>
              <w:t>pdf</w:t>
            </w:r>
            <w:proofErr w:type="spellEnd"/>
          </w:p>
        </w:tc>
        <w:tc>
          <w:tcPr>
            <w:tcW w:w="1985" w:type="dxa"/>
            <w:vAlign w:val="center"/>
          </w:tcPr>
          <w:p w14:paraId="3AC52CE1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3957949F" w14:textId="489CAA06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1EA972B8" w14:textId="77777777" w:rsidTr="001674CF">
        <w:tc>
          <w:tcPr>
            <w:tcW w:w="772" w:type="dxa"/>
            <w:vAlign w:val="center"/>
          </w:tcPr>
          <w:p w14:paraId="025FDBCE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328012A0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>Balení jednorázových bakteriálních a virových filtrů pro zprovoznění přístroje (tj. startovací balíček pro min 300 vyšetření)</w:t>
            </w:r>
          </w:p>
        </w:tc>
        <w:tc>
          <w:tcPr>
            <w:tcW w:w="1985" w:type="dxa"/>
            <w:vAlign w:val="center"/>
          </w:tcPr>
          <w:p w14:paraId="76576515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11CDC91F" w14:textId="3D337641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044DB6DC" w14:textId="77777777" w:rsidTr="001674CF">
        <w:tc>
          <w:tcPr>
            <w:tcW w:w="772" w:type="dxa"/>
            <w:vAlign w:val="center"/>
          </w:tcPr>
          <w:p w14:paraId="65A2C91E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310A80A8" w14:textId="423CE8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Vhodné PC </w:t>
            </w:r>
            <w:proofErr w:type="gramStart"/>
            <w:r w:rsidRPr="00E73245">
              <w:rPr>
                <w:rFonts w:ascii="Cambria" w:hAnsi="Cambria" w:cs="Calibri"/>
                <w:color w:val="000000"/>
              </w:rPr>
              <w:t>s</w:t>
            </w:r>
            <w:proofErr w:type="gramEnd"/>
            <w:r w:rsidRPr="00E73245">
              <w:rPr>
                <w:rFonts w:ascii="Cambria" w:hAnsi="Cambria" w:cs="Calibri"/>
                <w:color w:val="000000"/>
              </w:rPr>
              <w:t> min WIN 10 vč. barevné laserové tiskárny a LED monitoru s uhlopříčkou min 2</w:t>
            </w:r>
            <w:r w:rsidR="00F30BE5" w:rsidRPr="00E73245">
              <w:rPr>
                <w:rFonts w:ascii="Cambria" w:hAnsi="Cambria" w:cs="Calibri"/>
                <w:color w:val="000000"/>
              </w:rPr>
              <w:t>4</w:t>
            </w:r>
            <w:r w:rsidRPr="00E73245">
              <w:rPr>
                <w:rFonts w:ascii="Cambria" w:hAnsi="Cambria" w:cs="Calibri"/>
                <w:color w:val="000000"/>
              </w:rPr>
              <w:t>“</w:t>
            </w:r>
          </w:p>
        </w:tc>
        <w:tc>
          <w:tcPr>
            <w:tcW w:w="1985" w:type="dxa"/>
            <w:vAlign w:val="center"/>
          </w:tcPr>
          <w:p w14:paraId="7AF67110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5B5C7051" w14:textId="7A4C7FCA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1FDCC0FC" w14:textId="77777777" w:rsidTr="001674CF">
        <w:tc>
          <w:tcPr>
            <w:tcW w:w="772" w:type="dxa"/>
            <w:vAlign w:val="center"/>
          </w:tcPr>
          <w:p w14:paraId="346CCAD3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4CADBD45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 xml:space="preserve">Ověřitelná váha s výškoměrem (data o výšce a váze automaticky odesílat přímo do programu pro funkční vyšetření plic) </w:t>
            </w:r>
          </w:p>
        </w:tc>
        <w:tc>
          <w:tcPr>
            <w:tcW w:w="1985" w:type="dxa"/>
            <w:vAlign w:val="center"/>
          </w:tcPr>
          <w:p w14:paraId="4042D7E2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5F60CE71" w14:textId="63CF62F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  <w:tr w:rsidR="00CF041C" w:rsidRPr="00E73245" w14:paraId="72036883" w14:textId="77777777" w:rsidTr="001674CF">
        <w:tc>
          <w:tcPr>
            <w:tcW w:w="772" w:type="dxa"/>
            <w:vAlign w:val="center"/>
          </w:tcPr>
          <w:p w14:paraId="72E447A7" w14:textId="77777777" w:rsidR="00CF041C" w:rsidRPr="00E73245" w:rsidRDefault="00CF041C" w:rsidP="00CF041C">
            <w:pPr>
              <w:pStyle w:val="Odstavecseseznamem"/>
              <w:widowControl w:val="0"/>
              <w:numPr>
                <w:ilvl w:val="0"/>
                <w:numId w:val="2"/>
              </w:numPr>
              <w:tabs>
                <w:tab w:val="left" w:pos="1941"/>
              </w:tabs>
              <w:autoSpaceDE w:val="0"/>
              <w:autoSpaceDN w:val="0"/>
              <w:adjustRightInd w:val="0"/>
              <w:spacing w:beforeLines="60" w:before="144" w:afterLines="60" w:after="144" w:line="240" w:lineRule="auto"/>
              <w:ind w:right="-62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785" w:type="dxa"/>
            <w:vAlign w:val="center"/>
          </w:tcPr>
          <w:p w14:paraId="3A9DD624" w14:textId="77777777" w:rsidR="00CF041C" w:rsidRPr="00E73245" w:rsidRDefault="00CF041C" w:rsidP="001674CF">
            <w:pPr>
              <w:rPr>
                <w:rFonts w:ascii="Cambria" w:hAnsi="Cambria" w:cs="Calibri"/>
                <w:color w:val="000000"/>
              </w:rPr>
            </w:pPr>
            <w:r w:rsidRPr="00E73245">
              <w:rPr>
                <w:rFonts w:ascii="Cambria" w:hAnsi="Cambria" w:cs="Calibri"/>
                <w:color w:val="000000"/>
              </w:rPr>
              <w:t>Systémový stůl na kolečkách s integrovaným oddělovacím transformátorem pro umístění PC sestavy, tiskárny</w:t>
            </w:r>
          </w:p>
        </w:tc>
        <w:tc>
          <w:tcPr>
            <w:tcW w:w="1985" w:type="dxa"/>
            <w:vAlign w:val="center"/>
          </w:tcPr>
          <w:p w14:paraId="542D0250" w14:textId="77777777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b w:val="0"/>
                <w:lang w:eastAsia="en-US"/>
              </w:rPr>
            </w:pPr>
            <w:r w:rsidRPr="00E73245">
              <w:rPr>
                <w:rFonts w:ascii="Cambria" w:hAnsi="Cambria"/>
                <w:b w:val="0"/>
                <w:lang w:eastAsia="en-US"/>
              </w:rPr>
              <w:t>absolutní</w:t>
            </w:r>
          </w:p>
        </w:tc>
        <w:tc>
          <w:tcPr>
            <w:tcW w:w="2268" w:type="dxa"/>
            <w:vAlign w:val="center"/>
          </w:tcPr>
          <w:p w14:paraId="5DBE8BBB" w14:textId="26147DDE" w:rsidR="00CF041C" w:rsidRPr="00E73245" w:rsidRDefault="00CF041C" w:rsidP="001674CF">
            <w:pPr>
              <w:pStyle w:val="NADPIS1"/>
              <w:spacing w:beforeLines="60" w:before="144" w:afterLines="60" w:after="144"/>
              <w:jc w:val="center"/>
              <w:rPr>
                <w:rFonts w:ascii="Cambria" w:hAnsi="Cambria"/>
                <w:lang w:eastAsia="en-US"/>
              </w:rPr>
            </w:pPr>
          </w:p>
        </w:tc>
      </w:tr>
    </w:tbl>
    <w:p w14:paraId="07CD52CB" w14:textId="77777777" w:rsidR="00CF041C" w:rsidRPr="00E73245" w:rsidRDefault="00CF041C" w:rsidP="00CF041C">
      <w:pPr>
        <w:pStyle w:val="NADPIS1"/>
        <w:spacing w:beforeLines="60" w:before="144" w:afterLines="60" w:after="144"/>
        <w:rPr>
          <w:rFonts w:ascii="Cambria" w:hAnsi="Cambria"/>
          <w:lang w:eastAsia="en-US"/>
        </w:rPr>
      </w:pPr>
    </w:p>
    <w:p w14:paraId="359D20FF" w14:textId="77777777" w:rsidR="00D73346" w:rsidRPr="00E73245" w:rsidRDefault="00D73346">
      <w:pPr>
        <w:rPr>
          <w:rFonts w:ascii="Cambria" w:hAnsi="Cambria"/>
        </w:rPr>
      </w:pPr>
    </w:p>
    <w:sectPr w:rsidR="00D73346" w:rsidRPr="00E732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E72BA" w14:textId="77777777" w:rsidR="000F582A" w:rsidRDefault="000F582A" w:rsidP="000F582A">
      <w:pPr>
        <w:spacing w:after="0" w:line="240" w:lineRule="auto"/>
      </w:pPr>
      <w:r>
        <w:separator/>
      </w:r>
    </w:p>
  </w:endnote>
  <w:endnote w:type="continuationSeparator" w:id="0">
    <w:p w14:paraId="1F454007" w14:textId="77777777" w:rsidR="000F582A" w:rsidRDefault="000F582A" w:rsidP="000F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1468" w14:textId="77777777" w:rsidR="00351053" w:rsidRDefault="003510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2E0A" w14:textId="77777777" w:rsidR="00351053" w:rsidRDefault="003510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6E5E" w14:textId="77777777" w:rsidR="00351053" w:rsidRDefault="003510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858E" w14:textId="77777777" w:rsidR="000F582A" w:rsidRDefault="000F582A" w:rsidP="000F582A">
      <w:pPr>
        <w:spacing w:after="0" w:line="240" w:lineRule="auto"/>
      </w:pPr>
      <w:r>
        <w:separator/>
      </w:r>
    </w:p>
  </w:footnote>
  <w:footnote w:type="continuationSeparator" w:id="0">
    <w:p w14:paraId="65BE2F15" w14:textId="77777777" w:rsidR="000F582A" w:rsidRDefault="000F582A" w:rsidP="000F5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0078" w14:textId="77777777" w:rsidR="00351053" w:rsidRDefault="003510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09DAF" w14:textId="0F758C34" w:rsidR="003C642D" w:rsidRDefault="003C642D" w:rsidP="003C642D">
    <w:pPr>
      <w:spacing w:line="240" w:lineRule="atLeast"/>
      <w:ind w:left="10" w:right="8" w:hanging="10"/>
      <w:jc w:val="right"/>
      <w:rPr>
        <w:rFonts w:ascii="Cambria" w:hAnsi="Cambria"/>
        <w:bCs/>
      </w:rPr>
    </w:pPr>
    <w:r>
      <w:rPr>
        <w:rFonts w:ascii="Cambria" w:hAnsi="Cambria"/>
        <w:bCs/>
      </w:rPr>
      <w:t xml:space="preserve">Příloha č. </w:t>
    </w:r>
    <w:r>
      <w:rPr>
        <w:rFonts w:ascii="Cambria" w:hAnsi="Cambria"/>
        <w:bCs/>
      </w:rPr>
      <w:t>1</w:t>
    </w:r>
    <w:r w:rsidR="00351053">
      <w:rPr>
        <w:rFonts w:ascii="Cambria" w:hAnsi="Cambria"/>
        <w:bCs/>
      </w:rPr>
      <w:t>H</w:t>
    </w:r>
    <w:r>
      <w:rPr>
        <w:rFonts w:ascii="Cambria" w:hAnsi="Cambria"/>
        <w:bCs/>
      </w:rPr>
      <w:t xml:space="preserve"> materiálu k bodu č.        programu</w:t>
    </w:r>
  </w:p>
  <w:p w14:paraId="1588ACA4" w14:textId="75663E31" w:rsidR="000F582A" w:rsidRPr="000F582A" w:rsidRDefault="000F582A" w:rsidP="000F582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955A" w14:textId="77777777" w:rsidR="00351053" w:rsidRDefault="003510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57043"/>
    <w:multiLevelType w:val="multilevel"/>
    <w:tmpl w:val="AD40ED6A"/>
    <w:styleLink w:val="Styl1"/>
    <w:lvl w:ilvl="0">
      <w:start w:val="1"/>
      <w:numFmt w:val="decimal"/>
      <w:suff w:val="nothing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C96230"/>
    <w:multiLevelType w:val="multilevel"/>
    <w:tmpl w:val="AD40ED6A"/>
    <w:numStyleLink w:val="Styl1"/>
  </w:abstractNum>
  <w:num w:numId="1" w16cid:durableId="1279605456">
    <w:abstractNumId w:val="0"/>
  </w:num>
  <w:num w:numId="2" w16cid:durableId="92634337">
    <w:abstractNumId w:val="1"/>
    <w:lvlOverride w:ilvl="0">
      <w:lvl w:ilvl="0">
        <w:start w:val="1"/>
        <w:numFmt w:val="decimal"/>
        <w:suff w:val="nothing"/>
        <w:lvlText w:val="%1"/>
        <w:lvlJc w:val="left"/>
        <w:pPr>
          <w:ind w:left="360" w:hanging="360"/>
        </w:pPr>
        <w:rPr>
          <w:rFonts w:ascii="Arial" w:hAnsi="Arial" w:cs="Arial" w:hint="default"/>
          <w:color w:val="auto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AE1"/>
    <w:rsid w:val="00060AE1"/>
    <w:rsid w:val="000F582A"/>
    <w:rsid w:val="001067BA"/>
    <w:rsid w:val="00351053"/>
    <w:rsid w:val="003C642D"/>
    <w:rsid w:val="00701570"/>
    <w:rsid w:val="00AD4441"/>
    <w:rsid w:val="00CF041C"/>
    <w:rsid w:val="00D73346"/>
    <w:rsid w:val="00E73245"/>
    <w:rsid w:val="00F3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5A59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041C"/>
    <w:pPr>
      <w:spacing w:after="200" w:line="276" w:lineRule="auto"/>
    </w:pPr>
    <w:rPr>
      <w:rFonts w:ascii="Segoe UI" w:hAnsi="Segoe U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CF041C"/>
    <w:pPr>
      <w:ind w:left="720"/>
      <w:contextualSpacing/>
    </w:pPr>
  </w:style>
  <w:style w:type="paragraph" w:customStyle="1" w:styleId="NADPIS1">
    <w:name w:val="NADPIS 1"/>
    <w:basedOn w:val="Normln"/>
    <w:link w:val="NADPIS1Char"/>
    <w:qFormat/>
    <w:rsid w:val="00CF041C"/>
    <w:pPr>
      <w:spacing w:before="240" w:after="240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CF041C"/>
    <w:rPr>
      <w:rFonts w:ascii="Arial" w:eastAsia="Times New Roman" w:hAnsi="Arial" w:cs="Arial"/>
      <w:b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CF041C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F041C"/>
    <w:rPr>
      <w:rFonts w:ascii="Segoe UI" w:hAnsi="Segoe UI"/>
    </w:rPr>
  </w:style>
  <w:style w:type="numbering" w:customStyle="1" w:styleId="Styl1">
    <w:name w:val="Styl1"/>
    <w:uiPriority w:val="99"/>
    <w:rsid w:val="00CF041C"/>
    <w:pPr>
      <w:numPr>
        <w:numId w:val="1"/>
      </w:numPr>
    </w:pPr>
  </w:style>
  <w:style w:type="paragraph" w:styleId="Zhlav">
    <w:name w:val="header"/>
    <w:basedOn w:val="Normln"/>
    <w:link w:val="ZhlavChar"/>
    <w:uiPriority w:val="99"/>
    <w:unhideWhenUsed/>
    <w:rsid w:val="000F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582A"/>
    <w:rPr>
      <w:rFonts w:ascii="Segoe UI" w:hAnsi="Segoe UI"/>
    </w:rPr>
  </w:style>
  <w:style w:type="paragraph" w:styleId="Zpat">
    <w:name w:val="footer"/>
    <w:basedOn w:val="Normln"/>
    <w:link w:val="ZpatChar"/>
    <w:uiPriority w:val="99"/>
    <w:unhideWhenUsed/>
    <w:rsid w:val="000F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582A"/>
    <w:rPr>
      <w:rFonts w:ascii="Segoe UI" w:hAnsi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624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Šebesta - MR Diagnostic s.r.o.</dc:creator>
  <cp:lastModifiedBy>Fiedler Zdeněk</cp:lastModifiedBy>
  <cp:revision>8</cp:revision>
  <dcterms:created xsi:type="dcterms:W3CDTF">2022-09-20T12:15:00Z</dcterms:created>
  <dcterms:modified xsi:type="dcterms:W3CDTF">2023-05-24T07:41:00Z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2023-05-23T06:19:05Z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3c5dd703-10f4-4438-8c78-c5f593d718d2</vt:lpwstr>
  </property>
  <property fmtid="{D5CDD505-2E9C-101B-9397-08002B2CF9AE}" pid="8" name="MSIP_Label_690ebb53-23a2-471a-9c6e-17bd0d11311e_ContentBits">
    <vt:lpwstr>0</vt:lpwstr>
  </property>
</Properties>
</file>